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7A11184B"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submersible sensors for pCO</w:t>
      </w:r>
      <w:r w:rsidR="00092617" w:rsidRPr="00092617">
        <w:rPr>
          <w:rFonts w:ascii="Times New Roman" w:hAnsi="Times New Roman"/>
          <w:b/>
          <w:vertAlign w:val="subscript"/>
        </w:rPr>
        <w:t>2</w:t>
      </w:r>
      <w:r w:rsidR="00092617" w:rsidRPr="00092617">
        <w:rPr>
          <w:rFonts w:ascii="Times New Roman" w:hAnsi="Times New Roman"/>
          <w:b/>
        </w:rPr>
        <w:t xml:space="preserve"> recording</w:t>
      </w:r>
      <w:bookmarkEnd w:id="0"/>
      <w:r w:rsidR="00075F56">
        <w:rPr>
          <w:rFonts w:ascii="Times New Roman" w:hAnsi="Times New Roman"/>
          <w:b/>
        </w:rPr>
        <w:t xml:space="preserve"> – II</w:t>
      </w:r>
      <w:r w:rsidRPr="004F4F6C">
        <w:rPr>
          <w:rFonts w:ascii="Times New Roman" w:hAnsi="Times New Roman"/>
        </w:rPr>
        <w:t xml:space="preserve"> </w:t>
      </w:r>
      <w:bookmarkEnd w:id="1"/>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075F56">
        <w:rPr>
          <w:rFonts w:ascii="Times New Roman" w:hAnsi="Times New Roman"/>
        </w:rPr>
        <w:t>6</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16A0B2FB"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w:t>
      </w:r>
      <w:r w:rsidR="00BA524E" w:rsidRPr="004F4F6C">
        <w:rPr>
          <w:rFonts w:ascii="Times New Roman" w:hAnsi="Times New Roman"/>
          <w:lang w:val="en-GB"/>
        </w:rPr>
        <w:t>R</w:t>
      </w:r>
      <w:r w:rsidR="00092617">
        <w:rPr>
          <w:rFonts w:ascii="Times New Roman" w:hAnsi="Times New Roman"/>
          <w:lang w:val="en-GB"/>
        </w:rPr>
        <w:t xml:space="preserve"> / NOK</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025A7C2C"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EUR</w:t>
      </w:r>
      <w:r w:rsidR="00092617">
        <w:rPr>
          <w:rFonts w:ascii="Times New Roman" w:hAnsi="Times New Roman"/>
          <w:lang w:val="en-GB"/>
        </w:rPr>
        <w:t xml:space="preserve"> / NOK</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6FF3C4D0"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EUR</w:t>
      </w:r>
      <w:r w:rsidR="00092617">
        <w:rPr>
          <w:rFonts w:ascii="Times New Roman" w:hAnsi="Times New Roman"/>
          <w:lang w:val="en-GB"/>
        </w:rPr>
        <w:t xml:space="preserve"> / NOK</w:t>
      </w:r>
      <w:r w:rsidRPr="004F4F6C">
        <w:rPr>
          <w:rFonts w:ascii="Times New Roman" w:hAnsi="Times New Roman"/>
          <w:vertAlign w:val="superscript"/>
          <w:lang w:val="en-GB"/>
        </w:rPr>
        <w:t>2</w:t>
      </w:r>
    </w:p>
    <w:p w14:paraId="27E7A045" w14:textId="70ACE2B1"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537288" w:rsidRPr="004F4F6C">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639A36BF"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sensors for pCO</w:t>
      </w:r>
      <w:r w:rsidR="00092617" w:rsidRPr="00092617">
        <w:rPr>
          <w:b/>
          <w:sz w:val="22"/>
          <w:szCs w:val="22"/>
          <w:vertAlign w:val="subscript"/>
        </w:rPr>
        <w:t>2</w:t>
      </w:r>
      <w:r w:rsidR="00092617" w:rsidRPr="00092617">
        <w:rPr>
          <w:b/>
          <w:sz w:val="22"/>
          <w:szCs w:val="22"/>
        </w:rPr>
        <w:t xml:space="preserve"> recording (4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5E3BE802"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 type, 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SIOS Knowledge Centre, Eleanor Jones, Dariusz Ignatiuk,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6BE43A1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075F56">
        <w:rPr>
          <w:sz w:val="22"/>
          <w:szCs w:val="22"/>
        </w:rPr>
        <w:t>6</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5770A8B8"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075F56">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64AD932C"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submersible sensors for pCO</w:t>
      </w:r>
      <w:r w:rsidR="00092617" w:rsidRPr="00092617">
        <w:rPr>
          <w:b/>
          <w:sz w:val="22"/>
          <w:szCs w:val="22"/>
          <w:vertAlign w:val="subscript"/>
          <w:lang w:val="en-US"/>
        </w:rPr>
        <w:t>2</w:t>
      </w:r>
      <w:r w:rsidR="00092617" w:rsidRPr="00092617">
        <w:rPr>
          <w:b/>
          <w:sz w:val="22"/>
          <w:szCs w:val="22"/>
          <w:lang w:val="en-US"/>
        </w:rPr>
        <w:t xml:space="preserve"> recording</w:t>
      </w:r>
      <w:r w:rsidR="00075F56">
        <w:rPr>
          <w:b/>
          <w:sz w:val="22"/>
          <w:szCs w:val="22"/>
          <w:lang w:val="en-US"/>
        </w:rPr>
        <w:t xml:space="preserve"> – II</w:t>
      </w:r>
      <w:r w:rsidR="00092617" w:rsidRPr="00092617">
        <w:rPr>
          <w:b/>
          <w:sz w:val="22"/>
          <w:szCs w:val="22"/>
          <w:lang w:val="en-US"/>
        </w:rPr>
        <w:t xml:space="preserve">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075F56">
        <w:rPr>
          <w:sz w:val="22"/>
          <w:szCs w:val="22"/>
          <w:lang w:val="en-US"/>
        </w:rPr>
        <w:t>6</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32C1867B"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092617" w:rsidRPr="007C0D04">
        <w:rPr>
          <w:rFonts w:eastAsia="Calibri"/>
          <w:b/>
          <w:i/>
          <w:sz w:val="22"/>
          <w:szCs w:val="22"/>
        </w:rPr>
        <w:t>sensors for pCO</w:t>
      </w:r>
      <w:r w:rsidR="00092617" w:rsidRPr="007C0D04">
        <w:rPr>
          <w:rFonts w:eastAsia="Calibri"/>
          <w:b/>
          <w:i/>
          <w:sz w:val="22"/>
          <w:szCs w:val="22"/>
          <w:vertAlign w:val="subscript"/>
        </w:rPr>
        <w:t>2</w:t>
      </w:r>
      <w:r w:rsidR="00092617" w:rsidRPr="007C0D04">
        <w:rPr>
          <w:rFonts w:eastAsia="Calibri"/>
          <w:b/>
          <w:i/>
          <w:sz w:val="22"/>
          <w:szCs w:val="22"/>
        </w:rPr>
        <w:t xml:space="preserve"> recording</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092617" w:rsidRPr="006C4408">
        <w:rPr>
          <w:rFonts w:eastAsia="Calibri"/>
          <w:b/>
          <w:i/>
          <w:sz w:val="22"/>
          <w:szCs w:val="22"/>
        </w:rPr>
        <w:t>100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2F6E518D"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value </w:t>
      </w:r>
      <w:r w:rsidRPr="00D1184B">
        <w:rPr>
          <w:rFonts w:ascii="Times New Roman" w:hAnsi="Times New Roman"/>
          <w:bCs/>
          <w:i/>
          <w:sz w:val="20"/>
        </w:rPr>
        <w:t xml:space="preserve">of the delivery, the Contractor should convert it into PLN </w:t>
      </w:r>
      <w:r w:rsidRPr="00D1184B">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D1184B">
        <w:rPr>
          <w:rFonts w:ascii="Times New Roman" w:hAnsi="Times New Roman"/>
          <w:bCs/>
          <w:i/>
          <w:sz w:val="20"/>
        </w:rPr>
        <w:t>(</w:t>
      </w:r>
      <w:r w:rsidR="00D1184B" w:rsidRPr="00D1184B">
        <w:rPr>
          <w:rFonts w:ascii="Times New Roman" w:hAnsi="Times New Roman"/>
          <w:bCs/>
          <w:i/>
          <w:sz w:val="20"/>
        </w:rPr>
        <w:t xml:space="preserve">March </w:t>
      </w:r>
      <w:r w:rsidR="00075F56">
        <w:rPr>
          <w:rFonts w:ascii="Times New Roman" w:hAnsi="Times New Roman"/>
          <w:bCs/>
          <w:i/>
          <w:sz w:val="20"/>
        </w:rPr>
        <w:t>13</w:t>
      </w:r>
      <w:r w:rsidR="00092617" w:rsidRPr="00D1184B">
        <w:rPr>
          <w:rFonts w:ascii="Times New Roman" w:hAnsi="Times New Roman"/>
          <w:bCs/>
          <w:i/>
          <w:sz w:val="20"/>
          <w:vertAlign w:val="superscript"/>
        </w:rPr>
        <w:t>th</w:t>
      </w:r>
      <w:r w:rsidRPr="00D1184B">
        <w:rPr>
          <w:rFonts w:ascii="Times New Roman" w:hAnsi="Times New Roman"/>
          <w:bCs/>
          <w:i/>
          <w:sz w:val="20"/>
        </w:rPr>
        <w:t>, 202</w:t>
      </w:r>
      <w:r w:rsidR="00BE2ADA" w:rsidRPr="00D1184B">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4F4F6C"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5"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5"/>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75F5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E4B0-BC20-42DE-B72D-40353B1F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1303</Words>
  <Characters>7823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9108</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IO/ZN/6/2025 - appendices 1-2</dc:title>
  <dc:subject>sensors for pCO2 recording</dc:subject>
  <dc:creator>BG</dc:creator>
  <cp:keywords>pCO2</cp:keywords>
  <cp:lastModifiedBy>Barbara Górecka</cp:lastModifiedBy>
  <cp:revision>19</cp:revision>
  <cp:lastPrinted>2024-11-29T10:42:00Z</cp:lastPrinted>
  <dcterms:created xsi:type="dcterms:W3CDTF">2024-12-03T10:10:00Z</dcterms:created>
  <dcterms:modified xsi:type="dcterms:W3CDTF">2025-03-05T08:50:00Z</dcterms:modified>
</cp:coreProperties>
</file>